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dpis2"/>
        <w:bidi w:val="0"/>
        <w:spacing w:before="200" w:after="120"/>
        <w:jc w:val="left"/>
        <w:rPr/>
      </w:pPr>
      <w:bookmarkStart w:id="0" w:name="wnd_TextBlock_40501778967349896_inner_0"/>
      <w:bookmarkEnd w:id="0"/>
      <w:r>
        <w:rPr/>
        <w:t>Osnova kurzu</w:t>
      </w:r>
    </w:p>
    <w:p>
      <w:pPr>
        <w:pStyle w:val="Nadpis3"/>
        <w:bidi w:val="0"/>
        <w:jc w:val="left"/>
        <w:rPr/>
      </w:pPr>
      <w:r>
        <w:rPr/>
      </w:r>
      <w:bookmarkStart w:id="1" w:name="wnd_TextBlock_40501778967349896_inner_1"/>
      <w:bookmarkStart w:id="2" w:name="wnd_TextBlock_40501778967349896_inner_1"/>
      <w:bookmarkEnd w:id="2"/>
    </w:p>
    <w:p>
      <w:pPr>
        <w:pStyle w:val="Tlotextu"/>
        <w:bidi w:val="0"/>
        <w:spacing w:lineRule="auto" w:line="276" w:before="0" w:after="140"/>
        <w:jc w:val="left"/>
        <w:rPr/>
      </w:pPr>
      <w:bookmarkStart w:id="3" w:name="wnd_TextBlock_40501778967349896_inner_2"/>
      <w:bookmarkEnd w:id="3"/>
      <w:r>
        <w:rPr>
          <w:rStyle w:val="Silnzdraznn"/>
          <w:sz w:val="24"/>
          <w:szCs w:val="24"/>
        </w:rPr>
        <w:t> </w:t>
      </w:r>
      <w:r>
        <w:rPr>
          <w:rStyle w:val="Silnzdraznn"/>
          <w:sz w:val="24"/>
          <w:szCs w:val="24"/>
        </w:rPr>
        <w:t>Formální standardy a funkční základ (Příprava ke zkoušce)</w:t>
      </w:r>
    </w:p>
    <w:p>
      <w:pPr>
        <w:pStyle w:val="Tlotextu"/>
        <w:bidi w:val="0"/>
        <w:spacing w:lineRule="auto" w:line="276" w:before="0" w:after="140"/>
        <w:jc w:val="left"/>
        <w:rPr/>
      </w:pPr>
      <w:bookmarkStart w:id="4" w:name="wnd_TextBlock_40501778967349896_inner_3"/>
      <w:bookmarkEnd w:id="4"/>
      <w:r>
        <w:rPr>
          <w:rStyle w:val="Zdraznn"/>
          <w:sz w:val="24"/>
          <w:szCs w:val="24"/>
        </w:rPr>
        <w:t>Tento blok zajišťuje splnění všech požadavků Národní soustavy kvalifikací (NSK).</w:t>
      </w:r>
    </w:p>
    <w:p>
      <w:pPr>
        <w:pStyle w:val="Tlotextu"/>
        <w:numPr>
          <w:ilvl w:val="0"/>
          <w:numId w:val="2"/>
        </w:numPr>
        <w:tabs>
          <w:tab w:val="clear" w:pos="709"/>
          <w:tab w:val="left" w:pos="707" w:leader="none"/>
        </w:tabs>
        <w:bidi w:val="0"/>
        <w:ind w:left="707" w:hanging="283"/>
        <w:jc w:val="left"/>
        <w:rPr/>
      </w:pPr>
      <w:bookmarkStart w:id="5" w:name="wnd_TextBlock_40501778967349896_inner_4"/>
      <w:bookmarkEnd w:id="5"/>
      <w:r>
        <w:rPr>
          <w:rStyle w:val="Silnzdraznn"/>
          <w:sz w:val="24"/>
          <w:szCs w:val="24"/>
        </w:rPr>
        <w:t>1.1 Funkční anatomie a kineziologie:</w:t>
      </w:r>
      <w:r>
        <w:rPr>
          <w:sz w:val="24"/>
          <w:szCs w:val="24"/>
        </w:rPr>
        <w:t> Stavba a funkce pohybového aparátu s důrazem na svalové řetězce</w:t>
      </w:r>
    </w:p>
    <w:p>
      <w:pPr>
        <w:pStyle w:val="Tlotextu"/>
        <w:numPr>
          <w:ilvl w:val="0"/>
          <w:numId w:val="2"/>
        </w:numPr>
        <w:tabs>
          <w:tab w:val="clear" w:pos="709"/>
          <w:tab w:val="left" w:pos="707" w:leader="none"/>
        </w:tabs>
        <w:bidi w:val="0"/>
        <w:ind w:left="707" w:hanging="283"/>
        <w:jc w:val="left"/>
        <w:rPr/>
      </w:pPr>
      <w:r>
        <w:rPr>
          <w:rStyle w:val="Silnzdraznn"/>
          <w:sz w:val="24"/>
          <w:szCs w:val="24"/>
        </w:rPr>
        <w:t>1.2 Fyziologie zátěže:</w:t>
      </w:r>
      <w:r>
        <w:rPr>
          <w:sz w:val="24"/>
          <w:szCs w:val="24"/>
        </w:rPr>
        <w:t> Reakce těla na fyzickou aktivitu, energetické systémy.</w:t>
      </w:r>
    </w:p>
    <w:p>
      <w:pPr>
        <w:pStyle w:val="Tlotextu"/>
        <w:numPr>
          <w:ilvl w:val="0"/>
          <w:numId w:val="2"/>
        </w:numPr>
        <w:tabs>
          <w:tab w:val="clear" w:pos="709"/>
          <w:tab w:val="left" w:pos="707" w:leader="none"/>
        </w:tabs>
        <w:bidi w:val="0"/>
        <w:ind w:left="707" w:hanging="283"/>
        <w:jc w:val="left"/>
        <w:rPr/>
      </w:pPr>
      <w:r>
        <w:rPr>
          <w:rStyle w:val="Silnzdraznn"/>
          <w:sz w:val="24"/>
          <w:szCs w:val="24"/>
        </w:rPr>
        <w:t>1.3 První pomoc a bezpečnost:</w:t>
      </w:r>
      <w:r>
        <w:rPr>
          <w:sz w:val="24"/>
          <w:szCs w:val="24"/>
        </w:rPr>
        <w:t> Prevence zranění při lekci a krizové situace v tělocvičně.</w:t>
      </w:r>
    </w:p>
    <w:p>
      <w:pPr>
        <w:pStyle w:val="Tlotextu"/>
        <w:numPr>
          <w:ilvl w:val="0"/>
          <w:numId w:val="2"/>
        </w:numPr>
        <w:tabs>
          <w:tab w:val="clear" w:pos="709"/>
          <w:tab w:val="left" w:pos="707" w:leader="none"/>
        </w:tabs>
        <w:bidi w:val="0"/>
        <w:ind w:left="707" w:hanging="283"/>
        <w:jc w:val="left"/>
        <w:rPr/>
      </w:pPr>
      <w:r>
        <w:rPr>
          <w:rStyle w:val="Silnzdraznn"/>
          <w:sz w:val="24"/>
          <w:szCs w:val="24"/>
        </w:rPr>
        <w:t>1.4 Didaktika a metodika:</w:t>
      </w:r>
      <w:r>
        <w:rPr>
          <w:sz w:val="24"/>
          <w:szCs w:val="24"/>
        </w:rPr>
        <w:t> Jak sestavit tréninkovou jednotku, pedagogické zásady vedení skupiny.</w:t>
      </w:r>
    </w:p>
    <w:p>
      <w:pPr>
        <w:pStyle w:val="Tlotextu"/>
        <w:numPr>
          <w:ilvl w:val="0"/>
          <w:numId w:val="2"/>
        </w:numPr>
        <w:tabs>
          <w:tab w:val="clear" w:pos="709"/>
          <w:tab w:val="left" w:pos="707" w:leader="none"/>
        </w:tabs>
        <w:bidi w:val="0"/>
        <w:ind w:left="707" w:hanging="283"/>
        <w:jc w:val="left"/>
        <w:rPr/>
      </w:pPr>
      <w:r>
        <w:rPr>
          <w:rStyle w:val="Silnzdraznn"/>
          <w:sz w:val="24"/>
          <w:szCs w:val="24"/>
        </w:rPr>
        <w:t>1.5. Didaktika sociální interakce:</w:t>
      </w:r>
      <w:r>
        <w:rPr>
          <w:sz w:val="24"/>
          <w:szCs w:val="24"/>
        </w:rPr>
        <w:t> Moderování, cvičení jako společná zkušenost</w:t>
      </w:r>
    </w:p>
    <w:p>
      <w:pPr>
        <w:pStyle w:val="Tlotextu"/>
        <w:numPr>
          <w:ilvl w:val="0"/>
          <w:numId w:val="2"/>
        </w:numPr>
        <w:tabs>
          <w:tab w:val="clear" w:pos="709"/>
          <w:tab w:val="left" w:pos="707" w:leader="none"/>
        </w:tabs>
        <w:bidi w:val="0"/>
        <w:ind w:left="707" w:hanging="283"/>
        <w:jc w:val="left"/>
        <w:rPr/>
      </w:pPr>
      <w:r>
        <w:rPr>
          <w:rStyle w:val="Silnzdraznn"/>
          <w:sz w:val="24"/>
          <w:szCs w:val="24"/>
        </w:rPr>
        <w:t>1.6. Neurologie pohybu:</w:t>
      </w:r>
      <w:r>
        <w:rPr>
          <w:sz w:val="24"/>
          <w:szCs w:val="24"/>
        </w:rPr>
        <w:t>Porozumění základů regulace nervového systému a souvislostem v pohybu: sval - emoce, fascie-stres</w:t>
      </w:r>
    </w:p>
    <w:p>
      <w:pPr>
        <w:pStyle w:val="Tlotextu"/>
        <w:tabs>
          <w:tab w:val="clear" w:pos="709"/>
          <w:tab w:val="left" w:pos="707" w:leader="none"/>
        </w:tabs>
        <w:bidi w:val="0"/>
        <w:ind w:hanging="0"/>
        <w:jc w:val="left"/>
        <w:rPr>
          <w:rFonts w:ascii="Liberation Serif" w:hAnsi="Liberation Serif"/>
          <w:sz w:val="24"/>
          <w:szCs w:val="24"/>
        </w:rPr>
      </w:pPr>
      <w:r>
        <w:rPr/>
      </w:r>
    </w:p>
    <w:p>
      <w:pPr>
        <w:pStyle w:val="Tlotextu"/>
        <w:bidi w:val="0"/>
        <w:jc w:val="left"/>
        <w:rPr/>
      </w:pPr>
      <w:bookmarkStart w:id="6" w:name="wnd_TextBlock_40501778967349896_inner_5"/>
      <w:bookmarkEnd w:id="6"/>
      <w:r>
        <w:rPr>
          <w:rStyle w:val="Silnzdraznn"/>
          <w:sz w:val="24"/>
          <w:szCs w:val="24"/>
        </w:rPr>
        <w:t> </w:t>
      </w:r>
      <w:r>
        <w:rPr>
          <w:rStyle w:val="Silnzdraznn"/>
          <w:sz w:val="24"/>
          <w:szCs w:val="24"/>
        </w:rPr>
        <w:t>Somatický skener (Diagnostika a čtení v těle)</w:t>
      </w:r>
    </w:p>
    <w:p>
      <w:pPr>
        <w:pStyle w:val="Tlotextu"/>
        <w:bidi w:val="0"/>
        <w:spacing w:lineRule="auto" w:line="276" w:before="0" w:after="140"/>
        <w:jc w:val="left"/>
        <w:rPr/>
      </w:pPr>
      <w:bookmarkStart w:id="7" w:name="wnd_TextBlock_40501778967349896_inner_6"/>
      <w:bookmarkEnd w:id="7"/>
      <w:r>
        <w:rPr>
          <w:rStyle w:val="Zdraznn"/>
          <w:sz w:val="24"/>
          <w:szCs w:val="24"/>
        </w:rPr>
        <w:t>Nástavbový modul zaměřený na propojení těla a psychiky.</w:t>
      </w:r>
    </w:p>
    <w:p>
      <w:pPr>
        <w:pStyle w:val="Tlotextu"/>
        <w:numPr>
          <w:ilvl w:val="0"/>
          <w:numId w:val="3"/>
        </w:numPr>
        <w:tabs>
          <w:tab w:val="clear" w:pos="709"/>
          <w:tab w:val="left" w:pos="707" w:leader="none"/>
        </w:tabs>
        <w:bidi w:val="0"/>
        <w:ind w:left="707" w:hanging="283"/>
        <w:jc w:val="left"/>
        <w:rPr/>
      </w:pPr>
      <w:bookmarkStart w:id="8" w:name="wnd_TextBlock_40501778967349896_inner_7"/>
      <w:bookmarkEnd w:id="8"/>
      <w:r>
        <w:rPr>
          <w:rStyle w:val="Silnzdraznn"/>
          <w:sz w:val="24"/>
          <w:szCs w:val="24"/>
        </w:rPr>
        <w:t>2.1 Neurobiologie stresu v praxi:</w:t>
      </w:r>
      <w:r>
        <w:rPr>
          <w:sz w:val="24"/>
          <w:szCs w:val="24"/>
        </w:rPr>
        <w:t> Rozlišení stavů autonomního nervového systému (Boj/Útěk/Zamrznutí) u klientů.</w:t>
      </w:r>
    </w:p>
    <w:p>
      <w:pPr>
        <w:pStyle w:val="Tlotextu"/>
        <w:numPr>
          <w:ilvl w:val="0"/>
          <w:numId w:val="3"/>
        </w:numPr>
        <w:tabs>
          <w:tab w:val="clear" w:pos="709"/>
          <w:tab w:val="left" w:pos="707" w:leader="none"/>
        </w:tabs>
        <w:bidi w:val="0"/>
        <w:ind w:left="707" w:hanging="283"/>
        <w:jc w:val="left"/>
        <w:rPr/>
      </w:pPr>
      <w:r>
        <w:rPr>
          <w:rStyle w:val="Silnzdraznn"/>
          <w:sz w:val="24"/>
          <w:szCs w:val="24"/>
        </w:rPr>
        <w:t>2.2 Čtení posturálních vzorců:</w:t>
      </w:r>
      <w:r>
        <w:rPr>
          <w:sz w:val="24"/>
          <w:szCs w:val="24"/>
        </w:rPr>
        <w:t> Diagnostika stresových blokád (čelist, bránice, pánev) pouhým pohledem.</w:t>
      </w:r>
    </w:p>
    <w:p>
      <w:pPr>
        <w:pStyle w:val="Tlotextu"/>
        <w:numPr>
          <w:ilvl w:val="0"/>
          <w:numId w:val="3"/>
        </w:numPr>
        <w:tabs>
          <w:tab w:val="clear" w:pos="709"/>
          <w:tab w:val="left" w:pos="707" w:leader="none"/>
        </w:tabs>
        <w:bidi w:val="0"/>
        <w:ind w:left="707" w:hanging="283"/>
        <w:jc w:val="left"/>
        <w:rPr/>
      </w:pPr>
      <w:r>
        <w:rPr>
          <w:rStyle w:val="Silnzdraznn"/>
          <w:sz w:val="24"/>
          <w:szCs w:val="24"/>
        </w:rPr>
        <w:t>2.3 Okno tolerance:</w:t>
      </w:r>
      <w:r>
        <w:rPr>
          <w:sz w:val="24"/>
          <w:szCs w:val="24"/>
        </w:rPr>
        <w:t> Metodika vedení pohybu tak, aby nedošlo k přetížení nervové soustavy klienta.</w:t>
      </w:r>
    </w:p>
    <w:p>
      <w:pPr>
        <w:pStyle w:val="Tlotextu"/>
        <w:bidi w:val="0"/>
        <w:jc w:val="left"/>
        <w:rPr/>
      </w:pPr>
      <w:bookmarkStart w:id="9" w:name="wnd_TextBlock_40501778967349896_inner_8"/>
      <w:bookmarkEnd w:id="9"/>
      <w:r>
        <w:rPr>
          <w:rStyle w:val="Silnzdraznn"/>
          <w:sz w:val="24"/>
          <w:szCs w:val="24"/>
        </w:rPr>
        <w:t> </w:t>
      </w:r>
      <w:r>
        <w:rPr>
          <w:rStyle w:val="Silnzdraznn"/>
          <w:sz w:val="24"/>
          <w:szCs w:val="24"/>
        </w:rPr>
        <w:t>Vypínač stresu (Metodika práce s dechem, zvukem, svalem,  vibrací)</w:t>
      </w:r>
    </w:p>
    <w:p>
      <w:pPr>
        <w:pStyle w:val="Tlotextu"/>
        <w:bidi w:val="0"/>
        <w:spacing w:lineRule="auto" w:line="276" w:before="0" w:after="140"/>
        <w:jc w:val="left"/>
        <w:rPr/>
      </w:pPr>
      <w:bookmarkStart w:id="10" w:name="wnd_TextBlock_40501778967349896_inner_9"/>
      <w:bookmarkEnd w:id="10"/>
      <w:r>
        <w:rPr>
          <w:rStyle w:val="Zdraznn"/>
          <w:sz w:val="24"/>
          <w:szCs w:val="24"/>
        </w:rPr>
        <w:t>Praktické nástroje pro okamžitou regulaci napětí.</w:t>
      </w:r>
    </w:p>
    <w:p>
      <w:pPr>
        <w:pStyle w:val="Tlotextu"/>
        <w:numPr>
          <w:ilvl w:val="0"/>
          <w:numId w:val="4"/>
        </w:numPr>
        <w:tabs>
          <w:tab w:val="clear" w:pos="709"/>
          <w:tab w:val="left" w:pos="707" w:leader="none"/>
        </w:tabs>
        <w:bidi w:val="0"/>
        <w:ind w:left="707" w:hanging="283"/>
        <w:jc w:val="left"/>
        <w:rPr/>
      </w:pPr>
      <w:bookmarkStart w:id="11" w:name="wnd_TextBlock_40501778967349896_inner_10"/>
      <w:bookmarkEnd w:id="11"/>
      <w:r>
        <w:rPr>
          <w:rStyle w:val="Silnzdraznn"/>
          <w:sz w:val="24"/>
          <w:szCs w:val="24"/>
        </w:rPr>
        <w:t>3.1 Resonancia a vagová stimulace:</w:t>
      </w:r>
      <w:r>
        <w:rPr>
          <w:sz w:val="24"/>
          <w:szCs w:val="24"/>
        </w:rPr>
        <w:t> Využití hlasu a specifických zvuků k aktivaci parasympatiku.</w:t>
      </w:r>
    </w:p>
    <w:p>
      <w:pPr>
        <w:pStyle w:val="Tlotextu"/>
        <w:numPr>
          <w:ilvl w:val="0"/>
          <w:numId w:val="4"/>
        </w:numPr>
        <w:tabs>
          <w:tab w:val="clear" w:pos="709"/>
          <w:tab w:val="left" w:pos="707" w:leader="none"/>
        </w:tabs>
        <w:bidi w:val="0"/>
        <w:ind w:left="707" w:hanging="283"/>
        <w:jc w:val="left"/>
        <w:rPr/>
      </w:pPr>
      <w:r>
        <w:rPr>
          <w:rStyle w:val="Silnzdraznn"/>
          <w:sz w:val="24"/>
          <w:szCs w:val="24"/>
        </w:rPr>
        <w:t>3.2 Dechové vzorce pro regulaci:</w:t>
      </w:r>
      <w:r>
        <w:rPr>
          <w:sz w:val="24"/>
          <w:szCs w:val="24"/>
        </w:rPr>
        <w:t> Odklon od stresového dýchání k funkčnímu somatickému dechu.</w:t>
      </w:r>
    </w:p>
    <w:p>
      <w:pPr>
        <w:pStyle w:val="Tlotextu"/>
        <w:numPr>
          <w:ilvl w:val="0"/>
          <w:numId w:val="4"/>
        </w:numPr>
        <w:tabs>
          <w:tab w:val="clear" w:pos="709"/>
          <w:tab w:val="left" w:pos="707" w:leader="none"/>
        </w:tabs>
        <w:bidi w:val="0"/>
        <w:ind w:left="707" w:hanging="283"/>
        <w:jc w:val="left"/>
        <w:rPr/>
      </w:pPr>
      <w:r>
        <w:rPr>
          <w:rStyle w:val="Silnzdraznn"/>
          <w:sz w:val="24"/>
          <w:szCs w:val="24"/>
        </w:rPr>
        <w:t>3.3 Somatické uvolňování (Tapping &amp; Shaking):</w:t>
      </w:r>
      <w:r>
        <w:rPr>
          <w:sz w:val="24"/>
          <w:szCs w:val="24"/>
        </w:rPr>
        <w:t> Techniky pro vypuzení nahromaděného napětí z tkání a fascií.</w:t>
      </w:r>
    </w:p>
    <w:p>
      <w:pPr>
        <w:pStyle w:val="Tlotextu"/>
        <w:numPr>
          <w:ilvl w:val="0"/>
          <w:numId w:val="4"/>
        </w:numPr>
        <w:tabs>
          <w:tab w:val="clear" w:pos="709"/>
          <w:tab w:val="left" w:pos="707" w:leader="none"/>
        </w:tabs>
        <w:bidi w:val="0"/>
        <w:ind w:left="707" w:hanging="283"/>
        <w:jc w:val="left"/>
        <w:rPr/>
      </w:pPr>
      <w:r>
        <w:rPr>
          <w:rStyle w:val="Silnzdraznn"/>
          <w:sz w:val="24"/>
          <w:szCs w:val="24"/>
        </w:rPr>
        <w:t>3.4. Akutní a chronický stres - </w:t>
      </w:r>
      <w:r>
        <w:rPr>
          <w:sz w:val="24"/>
          <w:szCs w:val="24"/>
        </w:rPr>
        <w:t>rozpoznání stavu ANS a přizpůsobení zátěže</w:t>
      </w:r>
    </w:p>
    <w:p>
      <w:pPr>
        <w:pStyle w:val="Tlotextu"/>
        <w:bidi w:val="0"/>
        <w:jc w:val="left"/>
        <w:rPr/>
      </w:pPr>
      <w:bookmarkStart w:id="12" w:name="wnd_TextBlock_40501778967349896_inner_11"/>
      <w:bookmarkEnd w:id="12"/>
      <w:r>
        <w:rPr>
          <w:rStyle w:val="Zdraznn"/>
          <w:sz w:val="24"/>
          <w:szCs w:val="24"/>
        </w:rPr>
        <w:t>Budování komunity a role instruktora jako bezpečného průvodce.</w:t>
      </w:r>
    </w:p>
    <w:p>
      <w:pPr>
        <w:pStyle w:val="Tlotextu"/>
        <w:bidi w:val="0"/>
        <w:spacing w:lineRule="auto" w:line="276" w:before="0" w:after="140"/>
        <w:jc w:val="left"/>
        <w:rPr/>
      </w:pPr>
      <w:bookmarkStart w:id="13" w:name="wnd_TextBlock_40501778967349896_inner_12"/>
      <w:bookmarkEnd w:id="13"/>
      <w:r>
        <w:rPr>
          <w:rStyle w:val="Silnzdraznn"/>
          <w:sz w:val="24"/>
          <w:szCs w:val="24"/>
        </w:rPr>
        <w:t> </w:t>
      </w:r>
      <w:r>
        <w:rPr>
          <w:rStyle w:val="Silnzdraznn"/>
          <w:sz w:val="24"/>
          <w:szCs w:val="24"/>
        </w:rPr>
        <w:t>Architektura bezpečí a sociální aspekty</w:t>
      </w:r>
    </w:p>
    <w:p>
      <w:pPr>
        <w:pStyle w:val="Tlotextu"/>
        <w:numPr>
          <w:ilvl w:val="0"/>
          <w:numId w:val="5"/>
        </w:numPr>
        <w:tabs>
          <w:tab w:val="clear" w:pos="709"/>
          <w:tab w:val="left" w:pos="707" w:leader="none"/>
        </w:tabs>
        <w:bidi w:val="0"/>
        <w:ind w:left="707" w:hanging="283"/>
        <w:jc w:val="left"/>
        <w:rPr/>
      </w:pPr>
      <w:bookmarkStart w:id="14" w:name="wnd_TextBlock_40501778967349896_inner_13"/>
      <w:bookmarkEnd w:id="14"/>
      <w:r>
        <w:rPr>
          <w:rStyle w:val="Silnzdraznn"/>
          <w:sz w:val="24"/>
          <w:szCs w:val="24"/>
        </w:rPr>
        <w:t>4.1 Psychologie prostoru:</w:t>
      </w:r>
      <w:r>
        <w:rPr>
          <w:sz w:val="24"/>
          <w:szCs w:val="24"/>
        </w:rPr>
        <w:t> Prostorové uspořádání, práce s očním kontaktem a bezpečná zóna klienta.</w:t>
      </w:r>
    </w:p>
    <w:p>
      <w:pPr>
        <w:pStyle w:val="Tlotextu"/>
        <w:numPr>
          <w:ilvl w:val="0"/>
          <w:numId w:val="5"/>
        </w:numPr>
        <w:tabs>
          <w:tab w:val="clear" w:pos="709"/>
          <w:tab w:val="left" w:pos="707" w:leader="none"/>
        </w:tabs>
        <w:bidi w:val="0"/>
        <w:ind w:left="707" w:hanging="283"/>
        <w:jc w:val="left"/>
        <w:rPr/>
      </w:pPr>
      <w:r>
        <w:rPr>
          <w:rStyle w:val="Silnzdraznn"/>
          <w:sz w:val="24"/>
          <w:szCs w:val="24"/>
        </w:rPr>
        <w:t>4.2 Hlas jako nástroj regulace:</w:t>
      </w:r>
      <w:r>
        <w:rPr>
          <w:sz w:val="24"/>
          <w:szCs w:val="24"/>
        </w:rPr>
        <w:t> Práce s tónem, tempem a barvou hlasu pro navození pocitu bezpečí (neurocepce).</w:t>
      </w:r>
    </w:p>
    <w:p>
      <w:pPr>
        <w:pStyle w:val="Tlotextu"/>
        <w:numPr>
          <w:ilvl w:val="0"/>
          <w:numId w:val="5"/>
        </w:numPr>
        <w:tabs>
          <w:tab w:val="clear" w:pos="709"/>
          <w:tab w:val="left" w:pos="707" w:leader="none"/>
        </w:tabs>
        <w:bidi w:val="0"/>
        <w:ind w:left="707" w:hanging="283"/>
        <w:jc w:val="left"/>
        <w:rPr/>
      </w:pPr>
      <w:r>
        <w:rPr>
          <w:rStyle w:val="Silnzdraznn"/>
          <w:sz w:val="24"/>
          <w:szCs w:val="24"/>
        </w:rPr>
        <w:t>4.3 Kooperativní pohyb:</w:t>
      </w:r>
      <w:r>
        <w:rPr>
          <w:sz w:val="24"/>
          <w:szCs w:val="24"/>
        </w:rPr>
        <w:t> Metodika párových a skupinových cviků pro zvýšení hladiny oxytocinu a sociální opory.</w:t>
      </w:r>
    </w:p>
    <w:p>
      <w:pPr>
        <w:pStyle w:val="Tlotextu"/>
        <w:bidi w:val="0"/>
        <w:jc w:val="left"/>
        <w:rPr/>
      </w:pPr>
      <w:bookmarkStart w:id="15" w:name="wnd_TextBlock_40501778967349896_inner_14"/>
      <w:bookmarkEnd w:id="15"/>
      <w:r>
        <w:rPr>
          <w:rStyle w:val="Silnzdraznn"/>
          <w:sz w:val="24"/>
          <w:szCs w:val="24"/>
        </w:rPr>
        <w:t> </w:t>
      </w:r>
      <w:r>
        <w:rPr>
          <w:rStyle w:val="Silnzdraznn"/>
          <w:sz w:val="24"/>
          <w:szCs w:val="24"/>
        </w:rPr>
        <w:t>Praktický nácvik a simulace zkoušky</w:t>
      </w:r>
    </w:p>
    <w:p>
      <w:pPr>
        <w:pStyle w:val="Tlotextu"/>
        <w:numPr>
          <w:ilvl w:val="0"/>
          <w:numId w:val="6"/>
        </w:numPr>
        <w:tabs>
          <w:tab w:val="clear" w:pos="709"/>
          <w:tab w:val="left" w:pos="707" w:leader="none"/>
        </w:tabs>
        <w:bidi w:val="0"/>
        <w:ind w:left="707" w:hanging="283"/>
        <w:jc w:val="left"/>
        <w:rPr/>
      </w:pPr>
      <w:bookmarkStart w:id="16" w:name="wnd_TextBlock_40501778967349896_inner_16"/>
      <w:bookmarkStart w:id="17" w:name="wnd_TextBlock_40501778967349896_inner_15"/>
      <w:bookmarkEnd w:id="16"/>
      <w:bookmarkEnd w:id="17"/>
      <w:r>
        <w:rPr>
          <w:rStyle w:val="Silnzdraznn"/>
          <w:sz w:val="24"/>
          <w:szCs w:val="24"/>
        </w:rPr>
        <w:t>5.1 Sestavení lekce "Resilient Movement":</w:t>
      </w:r>
      <w:r>
        <w:rPr>
          <w:sz w:val="24"/>
          <w:szCs w:val="24"/>
        </w:rPr>
        <w:t> Integrace všech prvků do 60minutového bloku.</w:t>
      </w:r>
    </w:p>
    <w:p>
      <w:pPr>
        <w:pStyle w:val="Tlotextu"/>
        <w:numPr>
          <w:ilvl w:val="0"/>
          <w:numId w:val="6"/>
        </w:numPr>
        <w:tabs>
          <w:tab w:val="clear" w:pos="709"/>
          <w:tab w:val="left" w:pos="707" w:leader="none"/>
        </w:tabs>
        <w:bidi w:val="0"/>
        <w:ind w:left="707" w:hanging="283"/>
        <w:jc w:val="left"/>
        <w:rPr/>
      </w:pPr>
      <w:r>
        <w:rPr>
          <w:rStyle w:val="Silnzdraznn"/>
          <w:sz w:val="24"/>
          <w:szCs w:val="24"/>
        </w:rPr>
        <w:t>5.2 Simulace státní zkoušky:</w:t>
      </w:r>
      <w:r>
        <w:rPr>
          <w:sz w:val="24"/>
          <w:szCs w:val="24"/>
        </w:rPr>
        <w:t> Prověření znalostí před komisí nanečisto.</w:t>
      </w:r>
    </w:p>
    <w:p>
      <w:pPr>
        <w:pStyle w:val="Tlotextu"/>
        <w:numPr>
          <w:ilvl w:val="0"/>
          <w:numId w:val="6"/>
        </w:numPr>
        <w:tabs>
          <w:tab w:val="clear" w:pos="709"/>
          <w:tab w:val="left" w:pos="707" w:leader="none"/>
        </w:tabs>
        <w:bidi w:val="0"/>
        <w:ind w:left="707" w:hanging="283"/>
        <w:jc w:val="left"/>
        <w:rPr/>
      </w:pPr>
      <w:r>
        <w:rPr>
          <w:rStyle w:val="Silnzdraznn"/>
          <w:sz w:val="24"/>
          <w:szCs w:val="24"/>
        </w:rPr>
        <w:t>5.3 Etika a hranice:</w:t>
      </w:r>
      <w:r>
        <w:rPr>
          <w:sz w:val="24"/>
          <w:szCs w:val="24"/>
        </w:rPr>
        <w:t> Kde končí role instruktora a začíná role psychoterapeuta.</w:t>
      </w:r>
    </w:p>
    <w:p>
      <w:pPr>
        <w:pStyle w:val="Tlotextu"/>
        <w:numPr>
          <w:ilvl w:val="0"/>
          <w:numId w:val="6"/>
        </w:numPr>
        <w:tabs>
          <w:tab w:val="clear" w:pos="709"/>
          <w:tab w:val="left" w:pos="707" w:leader="none"/>
        </w:tabs>
        <w:bidi w:val="0"/>
        <w:ind w:left="707" w:hanging="283"/>
        <w:jc w:val="left"/>
        <w:rPr/>
      </w:pPr>
      <w:r>
        <w:rPr>
          <w:sz w:val="24"/>
          <w:szCs w:val="24"/>
        </w:rPr>
        <w:t xml:space="preserve">5.4 </w:t>
      </w:r>
      <w:r>
        <w:rPr>
          <w:b/>
          <w:bCs/>
          <w:sz w:val="24"/>
          <w:szCs w:val="24"/>
        </w:rPr>
        <w:t xml:space="preserve">Praktické využití pomůcek: </w:t>
      </w:r>
      <w:r>
        <w:rPr>
          <w:b w:val="false"/>
          <w:bCs w:val="false"/>
          <w:sz w:val="24"/>
          <w:szCs w:val="24"/>
        </w:rPr>
        <w:t>pr</w:t>
      </w:r>
      <w:r>
        <w:rPr>
          <w:b w:val="false"/>
          <w:bCs w:val="false"/>
          <w:sz w:val="24"/>
          <w:szCs w:val="24"/>
        </w:rPr>
        <w:t>áce</w:t>
      </w:r>
      <w:r>
        <w:rPr>
          <w:b w:val="false"/>
          <w:bCs w:val="false"/>
          <w:sz w:val="24"/>
          <w:szCs w:val="24"/>
        </w:rPr>
        <w:t xml:space="preserve"> s pomůckami při tvorbě pohybových programů </w:t>
      </w:r>
      <w:r>
        <w:rPr>
          <w:b w:val="false"/>
          <w:bCs w:val="false"/>
          <w:sz w:val="24"/>
          <w:szCs w:val="24"/>
        </w:rPr>
        <w:t>jako velký a malý míč, gumolano</w:t>
      </w:r>
      <w:r>
        <w:rPr>
          <w:b w:val="false"/>
          <w:bCs w:val="false"/>
          <w:sz w:val="24"/>
          <w:szCs w:val="24"/>
        </w:rPr>
        <w:t xml:space="preserve"> apod. </w:t>
      </w:r>
    </w:p>
    <w:p>
      <w:pPr>
        <w:pStyle w:val="Tlotextu"/>
        <w:numPr>
          <w:ilvl w:val="0"/>
          <w:numId w:val="6"/>
        </w:numPr>
        <w:tabs>
          <w:tab w:val="clear" w:pos="709"/>
          <w:tab w:val="left" w:pos="707" w:leader="none"/>
        </w:tabs>
        <w:bidi w:val="0"/>
        <w:ind w:left="707" w:hanging="283"/>
        <w:jc w:val="left"/>
        <w:rPr/>
      </w:pPr>
      <w:r>
        <w:rPr>
          <w:b w:val="false"/>
          <w:bCs w:val="false"/>
          <w:sz w:val="24"/>
          <w:szCs w:val="24"/>
        </w:rPr>
        <w:t xml:space="preserve">5.5. </w:t>
      </w:r>
      <w:r>
        <w:rPr>
          <w:rFonts w:eastAsia="NSimSun" w:cs="Arial"/>
          <w:b/>
          <w:bCs/>
          <w:color w:val="auto"/>
          <w:kern w:val="2"/>
          <w:sz w:val="24"/>
          <w:szCs w:val="24"/>
          <w:lang w:val="cs-CZ" w:eastAsia="zh-CN" w:bidi="hi-IN"/>
        </w:rPr>
        <w:t>Styly</w:t>
      </w:r>
      <w:r>
        <w:rPr>
          <w:b/>
          <w:bCs/>
          <w:sz w:val="24"/>
          <w:szCs w:val="24"/>
        </w:rPr>
        <w:t xml:space="preserve"> body-mind</w:t>
      </w:r>
      <w:r>
        <w:rPr>
          <w:b w:val="false"/>
          <w:bCs w:val="false"/>
          <w:sz w:val="24"/>
          <w:szCs w:val="24"/>
        </w:rPr>
        <w:t>-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modifik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ace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cvik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ů a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kompar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ace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západní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ho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a východní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ho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přístup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u pohybu</w:t>
      </w:r>
    </w:p>
    <w:p>
      <w:pPr>
        <w:pStyle w:val="Tlotextu"/>
        <w:numPr>
          <w:ilvl w:val="0"/>
          <w:numId w:val="6"/>
        </w:numPr>
        <w:tabs>
          <w:tab w:val="clear" w:pos="709"/>
          <w:tab w:val="left" w:pos="707" w:leader="none"/>
        </w:tabs>
        <w:bidi w:val="0"/>
        <w:ind w:left="707" w:hanging="283"/>
        <w:jc w:val="left"/>
        <w:rPr/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5.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6 </w:t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Praktické návody pohybu se specifickými skupinami </w:t>
      </w:r>
    </w:p>
    <w:p>
      <w:pPr>
        <w:pStyle w:val="Tlotextu"/>
        <w:bidi w:val="0"/>
        <w:spacing w:before="0" w:after="140"/>
        <w:jc w:val="left"/>
        <w:rPr>
          <w:rFonts w:ascii="Liberation Serif" w:hAnsi="Liberation Serif"/>
          <w:sz w:val="24"/>
          <w:szCs w:val="24"/>
        </w:rPr>
      </w:pPr>
      <w:bookmarkStart w:id="18" w:name="wnd_TextBlock_40501778967349896_inner_18"/>
      <w:bookmarkStart w:id="19" w:name="wnd_TextBlock_40501778967349896_inner_17"/>
      <w:bookmarkEnd w:id="18"/>
      <w:bookmarkEnd w:id="19"/>
      <w:r>
        <w:rPr>
          <w:sz w:val="24"/>
          <w:szCs w:val="24"/>
        </w:rPr>
        <w:b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erif">
    <w:altName w:val="Times New Roman"/>
    <w:charset w:val="ee"/>
    <w:family w:val="swiss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Nadpis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Nadpis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8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paragraph" w:styleId="Nadpis2">
    <w:name w:val="Heading 2"/>
    <w:basedOn w:val="Nadpis"/>
    <w:next w:val="Tlotextu"/>
    <w:qFormat/>
    <w:pPr>
      <w:numPr>
        <w:ilvl w:val="1"/>
        <w:numId w:val="1"/>
      </w:num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paragraph" w:styleId="Nadpis3">
    <w:name w:val="Heading 3"/>
    <w:basedOn w:val="Nadpis"/>
    <w:next w:val="Tlotextu"/>
    <w:qFormat/>
    <w:pPr>
      <w:numPr>
        <w:ilvl w:val="2"/>
        <w:numId w:val="1"/>
      </w:numPr>
      <w:spacing w:before="140" w:after="120"/>
      <w:outlineLvl w:val="2"/>
    </w:pPr>
    <w:rPr>
      <w:rFonts w:ascii="Liberation Serif" w:hAnsi="Liberation Serif" w:eastAsia="NSimSun" w:cs="Arial"/>
      <w:b/>
      <w:bCs/>
      <w:sz w:val="28"/>
      <w:szCs w:val="28"/>
    </w:rPr>
  </w:style>
  <w:style w:type="character" w:styleId="Silnzdraznn">
    <w:name w:val="Silné zdůraznění"/>
    <w:qFormat/>
    <w:rPr>
      <w:b/>
      <w:bCs/>
    </w:rPr>
  </w:style>
  <w:style w:type="character" w:styleId="Zdraznn">
    <w:name w:val="Zdůraznění"/>
    <w:qFormat/>
    <w:rPr>
      <w:i/>
      <w:iCs/>
    </w:rPr>
  </w:style>
  <w:style w:type="character" w:styleId="Odrky">
    <w:name w:val="Odrážky"/>
    <w:qFormat/>
    <w:rPr>
      <w:rFonts w:ascii="OpenSymbol" w:hAnsi="OpenSymbol" w:eastAsia="OpenSymbol" w:cs="OpenSymbol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39</TotalTime>
  <Application>LibreOffice/7.1.4.2$Windows_X86_64 LibreOffice_project/a529a4fab45b75fefc5b6226684193eb000654f6</Application>
  <AppVersion>15.0000</AppVersion>
  <Pages>2</Pages>
  <Words>370</Words>
  <Characters>2248</Characters>
  <CharactersWithSpaces>2574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2026-05-24T12:09:26Z</dcterms:created>
  <dc:creator/>
  <dc:description/>
  <dc:language>cs-CZ</dc:language>
  <cp:lastModifiedBy/>
  <dcterms:modified xsi:type="dcterms:W3CDTF">2026-05-25T21:14:07Z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